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6D" w:rsidRDefault="000B55DD" w:rsidP="00805C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- </w:t>
      </w:r>
      <w:r w:rsidR="00805C6D">
        <w:rPr>
          <w:rFonts w:ascii="Arial" w:hAnsi="Arial" w:cs="Arial"/>
          <w:b/>
          <w:sz w:val="24"/>
          <w:szCs w:val="24"/>
        </w:rPr>
        <w:t>O RECOLHIMENTO DO ISS DA OBRA DA UHE BELO MONTE PERTENCENTES AO MUNICÍPIO DE ALTAMIRA</w:t>
      </w:r>
    </w:p>
    <w:p w:rsidR="00805C6D" w:rsidRDefault="00805C6D" w:rsidP="00805C6D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05C6D" w:rsidRDefault="00805C6D" w:rsidP="00805C6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>
        <w:rPr>
          <w:rFonts w:ascii="Arial" w:eastAsia="Times New Roman" w:hAnsi="Arial" w:cs="Arial"/>
          <w:color w:val="040404"/>
          <w:lang w:eastAsia="pt-BR"/>
        </w:rPr>
        <w:t>O Consórcio Construtor Belo Monte (CCBM) está se negando a recolher o Imposto Sobre Serviço – ISS decorrente da obra UHE Belo Monte ao município de Altamira</w:t>
      </w:r>
      <w:r w:rsidR="00A82BFD">
        <w:rPr>
          <w:rFonts w:ascii="Arial" w:eastAsia="Times New Roman" w:hAnsi="Arial" w:cs="Arial"/>
          <w:color w:val="040404"/>
          <w:lang w:eastAsia="pt-BR"/>
        </w:rPr>
        <w:t>, na mesma proporção paga por todos os demais prestadores de serviços do município.</w:t>
      </w:r>
      <w:r w:rsidR="00B21C0E">
        <w:rPr>
          <w:rFonts w:ascii="Arial" w:eastAsia="Times New Roman" w:hAnsi="Arial" w:cs="Arial"/>
          <w:color w:val="040404"/>
          <w:lang w:eastAsia="pt-BR"/>
        </w:rPr>
        <w:t xml:space="preserve"> </w:t>
      </w:r>
      <w:r w:rsidR="00A82BFD" w:rsidRPr="00735E83">
        <w:rPr>
          <w:rFonts w:ascii="Arial" w:eastAsia="Times New Roman" w:hAnsi="Arial" w:cs="Arial"/>
          <w:b/>
          <w:color w:val="040404"/>
          <w:lang w:eastAsia="pt-BR"/>
        </w:rPr>
        <w:t>A</w:t>
      </w:r>
      <w:r w:rsidR="00B21C0E" w:rsidRPr="00735E83">
        <w:rPr>
          <w:rFonts w:ascii="Arial" w:eastAsia="Times New Roman" w:hAnsi="Arial" w:cs="Arial"/>
          <w:b/>
          <w:color w:val="040404"/>
          <w:lang w:eastAsia="pt-BR"/>
        </w:rPr>
        <w:t>s perdas</w:t>
      </w:r>
      <w:r w:rsidR="00B21C0E">
        <w:rPr>
          <w:rFonts w:ascii="Arial" w:eastAsia="Times New Roman" w:hAnsi="Arial" w:cs="Arial"/>
          <w:color w:val="040404"/>
          <w:lang w:eastAsia="pt-BR"/>
        </w:rPr>
        <w:t xml:space="preserve"> </w:t>
      </w:r>
      <w:r w:rsidR="001B3C0D">
        <w:rPr>
          <w:rFonts w:ascii="Arial" w:eastAsia="Times New Roman" w:hAnsi="Arial" w:cs="Arial"/>
          <w:color w:val="040404"/>
          <w:lang w:eastAsia="pt-BR"/>
        </w:rPr>
        <w:t xml:space="preserve">de receitas </w:t>
      </w:r>
      <w:r w:rsidR="00B21C0E">
        <w:rPr>
          <w:rFonts w:ascii="Arial" w:eastAsia="Times New Roman" w:hAnsi="Arial" w:cs="Arial"/>
          <w:color w:val="040404"/>
          <w:lang w:eastAsia="pt-BR"/>
        </w:rPr>
        <w:t>estão estimadas em aproximadamente R</w:t>
      </w:r>
      <w:r w:rsidR="00B21C0E" w:rsidRPr="00735E83">
        <w:rPr>
          <w:rFonts w:ascii="Arial" w:eastAsia="Times New Roman" w:hAnsi="Arial" w:cs="Arial"/>
          <w:b/>
          <w:color w:val="040404"/>
          <w:lang w:eastAsia="pt-BR"/>
        </w:rPr>
        <w:t>$ 50.000.00</w:t>
      </w:r>
      <w:r w:rsidR="00A82BFD" w:rsidRPr="00735E83">
        <w:rPr>
          <w:rFonts w:ascii="Arial" w:eastAsia="Times New Roman" w:hAnsi="Arial" w:cs="Arial"/>
          <w:b/>
          <w:color w:val="040404"/>
          <w:lang w:eastAsia="pt-BR"/>
        </w:rPr>
        <w:t>0</w:t>
      </w:r>
      <w:r w:rsidR="00B21C0E" w:rsidRPr="00735E83">
        <w:rPr>
          <w:rFonts w:ascii="Arial" w:eastAsia="Times New Roman" w:hAnsi="Arial" w:cs="Arial"/>
          <w:b/>
          <w:color w:val="040404"/>
          <w:lang w:eastAsia="pt-BR"/>
        </w:rPr>
        <w:t>,00</w:t>
      </w:r>
      <w:r w:rsidR="001B3C0D" w:rsidRPr="00735E83">
        <w:rPr>
          <w:rFonts w:ascii="Arial" w:eastAsia="Times New Roman" w:hAnsi="Arial" w:cs="Arial"/>
          <w:b/>
          <w:color w:val="040404"/>
          <w:lang w:eastAsia="pt-BR"/>
        </w:rPr>
        <w:t>,</w:t>
      </w:r>
      <w:r w:rsidR="001B3C0D">
        <w:rPr>
          <w:rFonts w:ascii="Arial" w:eastAsia="Times New Roman" w:hAnsi="Arial" w:cs="Arial"/>
          <w:color w:val="040404"/>
          <w:lang w:eastAsia="pt-BR"/>
        </w:rPr>
        <w:t xml:space="preserve"> apenas das notas fiscais emitidas do CCBM </w:t>
      </w:r>
      <w:r w:rsidR="00AD133D">
        <w:rPr>
          <w:rFonts w:ascii="Arial" w:eastAsia="Times New Roman" w:hAnsi="Arial" w:cs="Arial"/>
          <w:color w:val="040404"/>
          <w:lang w:eastAsia="pt-BR"/>
        </w:rPr>
        <w:t>à</w:t>
      </w:r>
      <w:r w:rsidR="001B3C0D">
        <w:rPr>
          <w:rFonts w:ascii="Arial" w:eastAsia="Times New Roman" w:hAnsi="Arial" w:cs="Arial"/>
          <w:color w:val="040404"/>
          <w:lang w:eastAsia="pt-BR"/>
        </w:rPr>
        <w:t xml:space="preserve"> Norte Energia, no período de execução da obra.</w:t>
      </w:r>
      <w:r>
        <w:rPr>
          <w:rFonts w:ascii="Arial" w:eastAsia="Times New Roman" w:hAnsi="Arial" w:cs="Arial"/>
          <w:color w:val="040404"/>
          <w:lang w:eastAsia="pt-BR"/>
        </w:rPr>
        <w:t xml:space="preserve"> </w:t>
      </w:r>
    </w:p>
    <w:p w:rsidR="00A82BFD" w:rsidRDefault="00A82BFD" w:rsidP="00805C6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>
        <w:rPr>
          <w:rFonts w:ascii="Arial" w:eastAsia="Times New Roman" w:hAnsi="Arial" w:cs="Arial"/>
          <w:color w:val="040404"/>
          <w:lang w:eastAsia="pt-BR"/>
        </w:rPr>
        <w:t xml:space="preserve">O CCBM entrou com ação judicial na Comarca de Altamira solicitando autorização </w:t>
      </w:r>
      <w:r w:rsidR="00AD133D">
        <w:rPr>
          <w:rFonts w:ascii="Arial" w:eastAsia="Times New Roman" w:hAnsi="Arial" w:cs="Arial"/>
          <w:color w:val="040404"/>
          <w:lang w:eastAsia="pt-BR"/>
        </w:rPr>
        <w:t xml:space="preserve">da justiça </w:t>
      </w:r>
      <w:r>
        <w:rPr>
          <w:rFonts w:ascii="Arial" w:eastAsia="Times New Roman" w:hAnsi="Arial" w:cs="Arial"/>
          <w:color w:val="040404"/>
          <w:lang w:eastAsia="pt-BR"/>
        </w:rPr>
        <w:t xml:space="preserve">para efetuar o depósito em juízo com base na alíquota de 2% enquanto que a prefeitura pratica a alíquota de 4% há muitos anos. A juíza </w:t>
      </w:r>
      <w:r w:rsidR="00556646">
        <w:rPr>
          <w:rFonts w:ascii="Arial" w:eastAsia="Times New Roman" w:hAnsi="Arial" w:cs="Arial"/>
          <w:color w:val="040404"/>
          <w:lang w:eastAsia="pt-BR"/>
        </w:rPr>
        <w:t xml:space="preserve">titular Cristina Collyer Damásio, </w:t>
      </w:r>
      <w:r w:rsidR="009C0831">
        <w:rPr>
          <w:rFonts w:ascii="Arial" w:eastAsia="Times New Roman" w:hAnsi="Arial" w:cs="Arial"/>
          <w:color w:val="040404"/>
          <w:lang w:eastAsia="pt-BR"/>
        </w:rPr>
        <w:t>da 4º Vara</w:t>
      </w:r>
      <w:r w:rsidR="00556646">
        <w:rPr>
          <w:rFonts w:ascii="Arial" w:eastAsia="Times New Roman" w:hAnsi="Arial" w:cs="Arial"/>
          <w:color w:val="040404"/>
          <w:lang w:eastAsia="pt-BR"/>
        </w:rPr>
        <w:t xml:space="preserve"> Civil da Comarca de Altamira, </w:t>
      </w:r>
      <w:r w:rsidR="009C0831">
        <w:rPr>
          <w:rFonts w:ascii="Arial" w:eastAsia="Times New Roman" w:hAnsi="Arial" w:cs="Arial"/>
          <w:color w:val="040404"/>
          <w:lang w:eastAsia="pt-BR"/>
        </w:rPr>
        <w:t xml:space="preserve">negou o pedido da empresa e o processo tramitou </w:t>
      </w:r>
      <w:r w:rsidR="00F27555">
        <w:rPr>
          <w:rFonts w:ascii="Arial" w:eastAsia="Times New Roman" w:hAnsi="Arial" w:cs="Arial"/>
          <w:color w:val="040404"/>
          <w:lang w:eastAsia="pt-BR"/>
        </w:rPr>
        <w:t>ao Tribunal de Justiça do Estado do Pará</w:t>
      </w:r>
      <w:r w:rsidR="009C0831">
        <w:rPr>
          <w:rFonts w:ascii="Arial" w:eastAsia="Times New Roman" w:hAnsi="Arial" w:cs="Arial"/>
          <w:color w:val="040404"/>
          <w:lang w:eastAsia="pt-BR"/>
        </w:rPr>
        <w:t xml:space="preserve"> e aguarda decisão. Se a decisão judicial for favorável ao CCBM o valor relativo ao imposto só será repassado ao município, após a tramitação do processo que pode levar 5, 8 ou 10 anos.</w:t>
      </w:r>
    </w:p>
    <w:p w:rsidR="00805C6D" w:rsidRDefault="00805C6D" w:rsidP="00805C6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00000"/>
          <w:lang w:eastAsia="pt-BR"/>
        </w:rPr>
      </w:pPr>
      <w:r w:rsidRPr="00DC20D4">
        <w:rPr>
          <w:rFonts w:ascii="Arial" w:eastAsia="Times New Roman" w:hAnsi="Arial" w:cs="Arial"/>
          <w:color w:val="040404"/>
          <w:lang w:eastAsia="pt-BR"/>
        </w:rPr>
        <w:t xml:space="preserve">Segundo o Art. 156, III da Constituição Federal, compete aos municípios o Imposto Sobre </w:t>
      </w:r>
      <w:r>
        <w:rPr>
          <w:rFonts w:ascii="Arial" w:eastAsia="Times New Roman" w:hAnsi="Arial" w:cs="Arial"/>
          <w:color w:val="040404"/>
          <w:lang w:eastAsia="pt-BR"/>
        </w:rPr>
        <w:t>S</w:t>
      </w:r>
      <w:r w:rsidRPr="00DC20D4">
        <w:rPr>
          <w:rFonts w:ascii="Arial" w:eastAsia="Times New Roman" w:hAnsi="Arial" w:cs="Arial"/>
          <w:color w:val="000000"/>
          <w:lang w:eastAsia="pt-BR"/>
        </w:rPr>
        <w:t>erviços</w:t>
      </w:r>
      <w:r>
        <w:rPr>
          <w:rFonts w:ascii="Arial" w:eastAsia="Times New Roman" w:hAnsi="Arial" w:cs="Arial"/>
          <w:color w:val="000000"/>
          <w:lang w:eastAsia="pt-BR"/>
        </w:rPr>
        <w:t xml:space="preserve"> - ISS</w:t>
      </w:r>
      <w:r w:rsidRPr="00DC20D4">
        <w:rPr>
          <w:rFonts w:ascii="Arial" w:eastAsia="Times New Roman" w:hAnsi="Arial" w:cs="Arial"/>
          <w:color w:val="000000"/>
          <w:lang w:eastAsia="pt-BR"/>
        </w:rPr>
        <w:t>, não compreendidos no art. 155, II, definidos em lei complementar. O Art. 3º da Lei Complementar 116/2003 estabelece que o</w:t>
      </w:r>
      <w:r>
        <w:rPr>
          <w:rFonts w:ascii="Arial" w:eastAsia="Times New Roman" w:hAnsi="Arial" w:cs="Arial"/>
          <w:color w:val="000000"/>
          <w:lang w:eastAsia="pt-BR"/>
        </w:rPr>
        <w:t xml:space="preserve"> ISS deverá ser recolhido no local da prestação do serviço nas hipóteses de obra</w:t>
      </w:r>
      <w:r w:rsidRPr="008111C5">
        <w:rPr>
          <w:rFonts w:ascii="Arial" w:eastAsia="Times New Roman" w:hAnsi="Arial" w:cs="Arial"/>
          <w:lang w:eastAsia="pt-BR"/>
        </w:rPr>
        <w:t xml:space="preserve"> de engenharia  </w:t>
      </w:r>
      <w:r w:rsidRPr="008111C5">
        <w:rPr>
          <w:rFonts w:ascii="Arial" w:hAnsi="Arial" w:cs="Arial"/>
          <w:szCs w:val="16"/>
        </w:rPr>
        <w:t>considerando-se ocorrido o fato gerador e devido o imposto em cada Município em cujo território haja</w:t>
      </w:r>
      <w:r w:rsidRPr="008111C5">
        <w:rPr>
          <w:rFonts w:ascii="Arial" w:eastAsia="Times New Roman" w:hAnsi="Arial" w:cs="Arial"/>
          <w:lang w:eastAsia="pt-BR"/>
        </w:rPr>
        <w:t xml:space="preserve"> realizado fração ou parte da obra.</w:t>
      </w:r>
    </w:p>
    <w:p w:rsidR="00545995" w:rsidRDefault="00805C6D" w:rsidP="00545995">
      <w:pPr>
        <w:spacing w:after="0"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40404"/>
          <w:lang w:eastAsia="pt-BR"/>
        </w:rPr>
        <w:t xml:space="preserve">O </w:t>
      </w:r>
      <w:r w:rsidRPr="00C74D1C">
        <w:rPr>
          <w:rFonts w:ascii="Arial" w:eastAsia="Times New Roman" w:hAnsi="Arial" w:cs="Arial"/>
          <w:color w:val="040404"/>
          <w:lang w:eastAsia="pt-BR"/>
        </w:rPr>
        <w:t xml:space="preserve">Mapa da Divisão Geopolítica dos Municípios de Altamira e Vitória do Xingú </w:t>
      </w:r>
      <w:r>
        <w:rPr>
          <w:rFonts w:ascii="Arial" w:eastAsia="Times New Roman" w:hAnsi="Arial" w:cs="Arial"/>
          <w:color w:val="040404"/>
          <w:lang w:eastAsia="pt-BR"/>
        </w:rPr>
        <w:t>fornecido pelo Consórcio Construtor Belo Monte</w:t>
      </w:r>
      <w:r w:rsidR="00545995">
        <w:rPr>
          <w:rFonts w:ascii="Arial" w:eastAsia="Times New Roman" w:hAnsi="Arial" w:cs="Arial"/>
          <w:color w:val="040404"/>
          <w:lang w:eastAsia="pt-BR"/>
        </w:rPr>
        <w:t xml:space="preserve"> (Anexo)</w:t>
      </w:r>
      <w:r>
        <w:rPr>
          <w:rFonts w:ascii="Arial" w:eastAsia="Times New Roman" w:hAnsi="Arial" w:cs="Arial"/>
          <w:color w:val="040404"/>
          <w:lang w:eastAsia="pt-BR"/>
        </w:rPr>
        <w:t xml:space="preserve">, revela que </w:t>
      </w:r>
      <w:r w:rsidRPr="00C74D1C">
        <w:rPr>
          <w:rFonts w:ascii="Arial" w:eastAsia="Times New Roman" w:hAnsi="Arial" w:cs="Arial"/>
          <w:color w:val="040404"/>
          <w:lang w:eastAsia="pt-BR"/>
        </w:rPr>
        <w:t>a proporção do ISS decorrente da execução das obras de construção civil será de 8,35% para o Município de Altamira e 91,65% para o Município de Vitória.</w:t>
      </w:r>
      <w:r w:rsidR="00545995">
        <w:rPr>
          <w:rFonts w:ascii="Arial" w:eastAsia="Times New Roman" w:hAnsi="Arial" w:cs="Arial"/>
          <w:color w:val="040404"/>
          <w:lang w:eastAsia="pt-BR"/>
        </w:rPr>
        <w:t xml:space="preserve"> </w:t>
      </w:r>
    </w:p>
    <w:p w:rsidR="00805C6D" w:rsidRDefault="00805C6D" w:rsidP="00805C6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 w:rsidRPr="00861A31">
        <w:rPr>
          <w:rFonts w:ascii="Arial" w:eastAsia="Times New Roman" w:hAnsi="Arial" w:cs="Arial"/>
          <w:color w:val="040404"/>
          <w:lang w:eastAsia="pt-BR"/>
        </w:rPr>
        <w:t xml:space="preserve">Levando-se em consideração os dados disponibilizados na “Planilha de Quantidade e Preço” </w:t>
      </w:r>
      <w:r>
        <w:rPr>
          <w:rFonts w:ascii="Arial" w:eastAsia="Times New Roman" w:hAnsi="Arial" w:cs="Arial"/>
          <w:color w:val="040404"/>
          <w:lang w:eastAsia="pt-BR"/>
        </w:rPr>
        <w:t xml:space="preserve">também </w:t>
      </w:r>
      <w:r w:rsidRPr="00861A31">
        <w:rPr>
          <w:rFonts w:ascii="Arial" w:eastAsia="Times New Roman" w:hAnsi="Arial" w:cs="Arial"/>
          <w:color w:val="040404"/>
          <w:lang w:eastAsia="pt-BR"/>
        </w:rPr>
        <w:t xml:space="preserve">fornecida pelo Consórcio Construtor Belo Monte, o valor das obras físicas está estimado em </w:t>
      </w:r>
      <w:r>
        <w:rPr>
          <w:rFonts w:ascii="Arial" w:eastAsia="Times New Roman" w:hAnsi="Arial" w:cs="Arial"/>
          <w:color w:val="040404"/>
          <w:lang w:eastAsia="pt-BR"/>
        </w:rPr>
        <w:t xml:space="preserve">R$ </w:t>
      </w:r>
      <w:r w:rsidRPr="00861A31">
        <w:rPr>
          <w:rFonts w:ascii="Arial" w:eastAsia="Times New Roman" w:hAnsi="Arial" w:cs="Arial"/>
          <w:color w:val="040404"/>
          <w:lang w:eastAsia="pt-BR"/>
        </w:rPr>
        <w:t xml:space="preserve">13.852.963.279,09, </w:t>
      </w:r>
      <w:r>
        <w:rPr>
          <w:rFonts w:ascii="Arial" w:eastAsia="Times New Roman" w:hAnsi="Arial" w:cs="Arial"/>
          <w:color w:val="040404"/>
          <w:lang w:eastAsia="pt-BR"/>
        </w:rPr>
        <w:t xml:space="preserve">valores atuais, </w:t>
      </w:r>
      <w:r w:rsidRPr="00861A31">
        <w:rPr>
          <w:rFonts w:ascii="Arial" w:eastAsia="Times New Roman" w:hAnsi="Arial" w:cs="Arial"/>
          <w:color w:val="040404"/>
          <w:lang w:eastAsia="pt-BR"/>
        </w:rPr>
        <w:t xml:space="preserve">sendo </w:t>
      </w:r>
      <w:r w:rsidRPr="009C0831">
        <w:rPr>
          <w:rFonts w:ascii="Arial" w:eastAsia="Times New Roman" w:hAnsi="Arial" w:cs="Arial"/>
          <w:b/>
          <w:color w:val="040404"/>
          <w:lang w:eastAsia="pt-BR"/>
        </w:rPr>
        <w:t>R$ 1.156.098.883,99</w:t>
      </w:r>
      <w:r w:rsidRPr="00861A31">
        <w:rPr>
          <w:rFonts w:ascii="Arial" w:eastAsia="Times New Roman" w:hAnsi="Arial" w:cs="Arial"/>
          <w:color w:val="040404"/>
          <w:lang w:eastAsia="pt-BR"/>
        </w:rPr>
        <w:t xml:space="preserve"> de serviços realizado</w:t>
      </w:r>
      <w:r>
        <w:rPr>
          <w:rFonts w:ascii="Arial" w:eastAsia="Times New Roman" w:hAnsi="Arial" w:cs="Arial"/>
          <w:color w:val="040404"/>
          <w:lang w:eastAsia="pt-BR"/>
        </w:rPr>
        <w:t>s</w:t>
      </w:r>
      <w:r w:rsidRPr="00861A31">
        <w:rPr>
          <w:rFonts w:ascii="Arial" w:eastAsia="Times New Roman" w:hAnsi="Arial" w:cs="Arial"/>
          <w:color w:val="040404"/>
          <w:lang w:eastAsia="pt-BR"/>
        </w:rPr>
        <w:t xml:space="preserve"> em Altamira e </w:t>
      </w:r>
      <w:r w:rsidRPr="00766F63">
        <w:rPr>
          <w:rFonts w:ascii="Arial" w:eastAsia="Times New Roman" w:hAnsi="Arial" w:cs="Arial"/>
          <w:b/>
          <w:color w:val="040404"/>
          <w:lang w:eastAsia="pt-BR"/>
        </w:rPr>
        <w:t>R$ 12.696.864.395,10</w:t>
      </w:r>
      <w:r w:rsidRPr="00861A31">
        <w:rPr>
          <w:rFonts w:ascii="Arial" w:eastAsia="Times New Roman" w:hAnsi="Arial" w:cs="Arial"/>
          <w:color w:val="040404"/>
          <w:lang w:eastAsia="pt-BR"/>
        </w:rPr>
        <w:t xml:space="preserve"> em Vitória do Xingú.</w:t>
      </w:r>
      <w:r>
        <w:rPr>
          <w:rFonts w:ascii="Arial" w:eastAsia="Times New Roman" w:hAnsi="Arial" w:cs="Arial"/>
          <w:color w:val="040404"/>
          <w:lang w:eastAsia="pt-BR"/>
        </w:rPr>
        <w:t xml:space="preserve"> O valor correspondente ao ISS que pertence a Altamira é de </w:t>
      </w:r>
      <w:r w:rsidRPr="00766F63">
        <w:rPr>
          <w:rFonts w:ascii="Arial" w:eastAsia="Times New Roman" w:hAnsi="Arial" w:cs="Arial"/>
          <w:b/>
          <w:color w:val="040404"/>
          <w:lang w:eastAsia="pt-BR"/>
        </w:rPr>
        <w:t>R$ 46.241.955,32</w:t>
      </w:r>
      <w:r>
        <w:rPr>
          <w:rFonts w:ascii="Arial" w:eastAsia="Times New Roman" w:hAnsi="Arial" w:cs="Arial"/>
          <w:color w:val="040404"/>
          <w:lang w:eastAsia="pt-BR"/>
        </w:rPr>
        <w:t xml:space="preserve"> e até a presente data, após decorridos 12 meses de início das obras, praticamente nada foi recolhido de ISS </w:t>
      </w:r>
      <w:r w:rsidR="00AD133D">
        <w:rPr>
          <w:rFonts w:ascii="Arial" w:eastAsia="Times New Roman" w:hAnsi="Arial" w:cs="Arial"/>
          <w:color w:val="040404"/>
          <w:lang w:eastAsia="pt-BR"/>
        </w:rPr>
        <w:t xml:space="preserve">da </w:t>
      </w:r>
      <w:r>
        <w:rPr>
          <w:rFonts w:ascii="Arial" w:eastAsia="Times New Roman" w:hAnsi="Arial" w:cs="Arial"/>
          <w:color w:val="040404"/>
          <w:lang w:eastAsia="pt-BR"/>
        </w:rPr>
        <w:t xml:space="preserve">obra UHE Belo Monte para Altamira (Quadro I). </w:t>
      </w:r>
    </w:p>
    <w:p w:rsidR="00805C6D" w:rsidRDefault="00805C6D" w:rsidP="00805C6D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2A7FDD">
        <w:rPr>
          <w:rFonts w:ascii="Arial" w:eastAsia="Times New Roman" w:hAnsi="Arial" w:cs="Arial"/>
          <w:b/>
          <w:lang w:eastAsia="pt-BR"/>
        </w:rPr>
        <w:lastRenderedPageBreak/>
        <w:t xml:space="preserve">QUADRO I - PERCENTUAIS PARA REATEIO E </w:t>
      </w:r>
    </w:p>
    <w:p w:rsidR="00805C6D" w:rsidRDefault="00805C6D" w:rsidP="00805C6D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2A7FDD">
        <w:rPr>
          <w:rFonts w:ascii="Arial" w:eastAsia="Times New Roman" w:hAnsi="Arial" w:cs="Arial"/>
          <w:b/>
          <w:lang w:eastAsia="pt-BR"/>
        </w:rPr>
        <w:t>MOBILIZAÇÃO/DESMOBILIZAÇÃO E PROJETOS</w:t>
      </w:r>
    </w:p>
    <w:p w:rsidR="00805C6D" w:rsidRPr="00D1748A" w:rsidRDefault="00805C6D" w:rsidP="00805C6D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pt-BR"/>
        </w:rPr>
      </w:pPr>
    </w:p>
    <w:tbl>
      <w:tblPr>
        <w:tblW w:w="0" w:type="auto"/>
        <w:tblInd w:w="1242" w:type="dxa"/>
        <w:tblLook w:val="04A0"/>
      </w:tblPr>
      <w:tblGrid>
        <w:gridCol w:w="3505"/>
        <w:gridCol w:w="2732"/>
        <w:gridCol w:w="1134"/>
      </w:tblGrid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VITÓRIA DO XINGÚ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11.952.639.999,90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91,65%</w:t>
            </w: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ALTAMIRA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1.088.294.479,19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8,35%</w:t>
            </w: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13.040.934.479,09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t-BR"/>
              </w:rPr>
              <w:t>MOBILIZAÇÃO/DESMOBILIZAÇÃO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VITÓRIA DO XINGÚ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331.799.395,20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ALTAMIRA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30.229.404,80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t-BR"/>
              </w:rPr>
              <w:t>PROJETO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VITÓRIA DO XINGÚ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412.425.000,00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ALTAMIRA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37.575.000,00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t-BR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t-BR"/>
              </w:rPr>
              <w:t>TOTAL GERAL (I)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VITÓRIA DO XINGÚ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12.696.864.395,10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ALTAMIRA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1.156.098.883,99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5C6D" w:rsidRPr="001051C8" w:rsidTr="004C387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</w:pPr>
            <w:r w:rsidRPr="002A7F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pt-BR"/>
              </w:rPr>
              <w:t>TOTAL GERAL (II)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C6D" w:rsidRPr="002A7FDD" w:rsidRDefault="00805C6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A7FDD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13.852.963.279,09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05C6D" w:rsidRPr="001051C8" w:rsidRDefault="00805C6D" w:rsidP="004C3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05C6D" w:rsidRPr="00D1748A" w:rsidRDefault="00805C6D" w:rsidP="00805C6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sz w:val="20"/>
          <w:szCs w:val="20"/>
          <w:lang w:eastAsia="pt-BR"/>
        </w:rPr>
      </w:pPr>
      <w:r w:rsidRPr="00D1748A">
        <w:rPr>
          <w:rFonts w:ascii="Arial" w:eastAsia="Times New Roman" w:hAnsi="Arial" w:cs="Arial"/>
          <w:color w:val="040404"/>
          <w:sz w:val="20"/>
          <w:szCs w:val="20"/>
          <w:lang w:eastAsia="pt-BR"/>
        </w:rPr>
        <w:t>Fonte: Consórcio Construtor Belo Monte - CCBM</w:t>
      </w:r>
    </w:p>
    <w:p w:rsidR="00805C6D" w:rsidRDefault="00805C6D" w:rsidP="00805C6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</w:p>
    <w:p w:rsidR="00545995" w:rsidRDefault="009C0831" w:rsidP="00805C6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>
        <w:rPr>
          <w:rFonts w:ascii="Arial" w:eastAsia="Times New Roman" w:hAnsi="Arial" w:cs="Arial"/>
          <w:color w:val="040404"/>
          <w:lang w:eastAsia="pt-BR"/>
        </w:rPr>
        <w:t xml:space="preserve">O que se espera da justiça é a manutenção da base de cálculo de 4% para o CCBM e que </w:t>
      </w:r>
      <w:r w:rsidR="00545995">
        <w:rPr>
          <w:rFonts w:ascii="Arial" w:eastAsia="Times New Roman" w:hAnsi="Arial" w:cs="Arial"/>
          <w:color w:val="040404"/>
          <w:lang w:eastAsia="pt-BR"/>
        </w:rPr>
        <w:t xml:space="preserve">este imposto </w:t>
      </w:r>
      <w:r>
        <w:rPr>
          <w:rFonts w:ascii="Arial" w:eastAsia="Times New Roman" w:hAnsi="Arial" w:cs="Arial"/>
          <w:color w:val="040404"/>
          <w:lang w:eastAsia="pt-BR"/>
        </w:rPr>
        <w:t xml:space="preserve">passe a ser recolhido imediatamente </w:t>
      </w:r>
      <w:r w:rsidR="00805C6D">
        <w:rPr>
          <w:rFonts w:ascii="Arial" w:eastAsia="Times New Roman" w:hAnsi="Arial" w:cs="Arial"/>
          <w:color w:val="040404"/>
          <w:lang w:eastAsia="pt-BR"/>
        </w:rPr>
        <w:t>na proporção 8,35% para Altamira e 91,65% para Vitória do Xingú</w:t>
      </w:r>
      <w:r w:rsidR="00545995">
        <w:rPr>
          <w:rFonts w:ascii="Arial" w:eastAsia="Times New Roman" w:hAnsi="Arial" w:cs="Arial"/>
          <w:color w:val="040404"/>
          <w:lang w:eastAsia="pt-BR"/>
        </w:rPr>
        <w:t>.</w:t>
      </w:r>
    </w:p>
    <w:p w:rsidR="00805C6D" w:rsidRDefault="00805C6D" w:rsidP="00805C6D">
      <w:pPr>
        <w:spacing w:after="0"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O recolhimento do ISS a partir deste momento é condição essencial para o município possa cumprir com as suas obrigações financeiras e desta forma enfrentar o desafio de atender a forte pressão por serviços públicos presente em todas as áreas da administração municipal.</w:t>
      </w:r>
    </w:p>
    <w:p w:rsidR="00545995" w:rsidRDefault="00545995" w:rsidP="00805C6D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:rsidR="000E27EC" w:rsidRDefault="000B55DD" w:rsidP="000E27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 - </w:t>
      </w:r>
      <w:r w:rsidR="000E27EC">
        <w:rPr>
          <w:rFonts w:ascii="Arial" w:hAnsi="Arial" w:cs="Arial"/>
          <w:b/>
          <w:sz w:val="24"/>
          <w:szCs w:val="24"/>
        </w:rPr>
        <w:t>A QUEDA DA ESTIMATIVA DA POPULAÇÃO DE ALTAMIRA EM 2011 E A REDUÇÃO DO FUNDO DE PARTICIPAÇÃO DOS MUNICÍPIOS – FPM</w:t>
      </w:r>
    </w:p>
    <w:p w:rsidR="000E27EC" w:rsidRDefault="000E27EC" w:rsidP="000E27EC">
      <w:pPr>
        <w:spacing w:after="0" w:line="360" w:lineRule="auto"/>
        <w:ind w:firstLine="1134"/>
        <w:jc w:val="both"/>
        <w:rPr>
          <w:rFonts w:ascii="Arial" w:hAnsi="Arial" w:cs="Arial"/>
        </w:rPr>
      </w:pPr>
      <w:r w:rsidRPr="00CF57A3">
        <w:rPr>
          <w:rFonts w:ascii="Arial" w:hAnsi="Arial" w:cs="Arial"/>
          <w:color w:val="000000" w:themeColor="text1"/>
        </w:rPr>
        <w:t xml:space="preserve">A estimativa da população de Altamira apurada pelo Instituto Brasileiro de Geografia e Estatística </w:t>
      </w:r>
      <w:r w:rsidR="000B55DD">
        <w:rPr>
          <w:rFonts w:ascii="Arial" w:hAnsi="Arial" w:cs="Arial"/>
          <w:color w:val="000000" w:themeColor="text1"/>
        </w:rPr>
        <w:t xml:space="preserve">– IBGE </w:t>
      </w:r>
      <w:r w:rsidRPr="00CF57A3">
        <w:rPr>
          <w:rFonts w:ascii="Arial" w:hAnsi="Arial" w:cs="Arial"/>
          <w:color w:val="000000" w:themeColor="text1"/>
        </w:rPr>
        <w:t xml:space="preserve">em 01/07/2011 revela que houve uma redução da população em 4,09%, ou seja, uma população inferior em 4.294 habitantes em relação a 2010. Esta queda populacional </w:t>
      </w:r>
      <w:r w:rsidRPr="00CF57A3">
        <w:rPr>
          <w:rFonts w:ascii="Arial" w:hAnsi="Arial" w:cs="Arial"/>
        </w:rPr>
        <w:t xml:space="preserve">provocou </w:t>
      </w:r>
      <w:r>
        <w:rPr>
          <w:rFonts w:ascii="Arial" w:hAnsi="Arial" w:cs="Arial"/>
        </w:rPr>
        <w:t>um</w:t>
      </w:r>
      <w:r w:rsidRPr="00CF57A3">
        <w:rPr>
          <w:rFonts w:ascii="Arial" w:hAnsi="Arial" w:cs="Arial"/>
        </w:rPr>
        <w:t xml:space="preserve">a redução do coeficiente de participação das verbas do Fundo de Participação dos Municípios – FPM de 3.2 para 3.0. </w:t>
      </w:r>
    </w:p>
    <w:p w:rsidR="000B55DD" w:rsidRPr="00683B58" w:rsidRDefault="000B55DD" w:rsidP="000B55D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 w:rsidRPr="00683B58">
        <w:rPr>
          <w:rFonts w:ascii="Arial" w:eastAsia="Times New Roman" w:hAnsi="Arial" w:cs="Arial"/>
          <w:color w:val="040404"/>
          <w:lang w:eastAsia="pt-BR"/>
        </w:rPr>
        <w:t>O Fundo de Participação dos Municípios é uma transferência constitucional (CF, Art. 159, I, b), da União para os Estados e o Distrito Federal, composto de 22,5% da arrecadação do Imposto de Renda (IR) e do Imposto sobre Produtos Industrializados (IPI). O critério utilizado para a distribuição dos recursos aos Municípios é o número de habitantes, onde são fixadas faixas populacionais, cabendo a cada uma delas um coeficiente individual.</w:t>
      </w:r>
    </w:p>
    <w:p w:rsidR="000B55DD" w:rsidRPr="00683B58" w:rsidRDefault="000B55DD" w:rsidP="000B55D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 w:rsidRPr="00683B58">
        <w:rPr>
          <w:rFonts w:ascii="Arial" w:eastAsia="Times New Roman" w:hAnsi="Arial" w:cs="Arial"/>
          <w:color w:val="040404"/>
          <w:lang w:eastAsia="pt-BR"/>
        </w:rPr>
        <w:t xml:space="preserve">Os critérios atualmente utilizados para o cálculo dos coeficientes de participação dos Municípios estão baseados na Lei nº 5.172/66 (Código Tributário </w:t>
      </w:r>
      <w:r w:rsidRPr="00683B58">
        <w:rPr>
          <w:rFonts w:ascii="Arial" w:eastAsia="Times New Roman" w:hAnsi="Arial" w:cs="Arial"/>
          <w:color w:val="040404"/>
          <w:lang w:eastAsia="pt-BR"/>
        </w:rPr>
        <w:lastRenderedPageBreak/>
        <w:t>Nacional) e no Decreto-Lei nº 1.881/81. As estatísticas com os dados populacionais dos municípios são publicados anualmente pelo Instituto Brasileiro de Geografia e Estatística - IBGE e o Tribunal de Contas da União, com base nestas estatísticas, publica</w:t>
      </w:r>
      <w:r>
        <w:rPr>
          <w:rFonts w:ascii="Arial" w:eastAsia="Times New Roman" w:hAnsi="Arial" w:cs="Arial"/>
          <w:color w:val="040404"/>
          <w:lang w:eastAsia="pt-BR"/>
        </w:rPr>
        <w:t>-se</w:t>
      </w:r>
      <w:r w:rsidRPr="00683B58">
        <w:rPr>
          <w:rFonts w:ascii="Arial" w:eastAsia="Times New Roman" w:hAnsi="Arial" w:cs="Arial"/>
          <w:color w:val="040404"/>
          <w:lang w:eastAsia="pt-BR"/>
        </w:rPr>
        <w:t xml:space="preserve"> no Diário Oficial da União os coeficientes dos Municípios.</w:t>
      </w:r>
    </w:p>
    <w:p w:rsidR="000B55DD" w:rsidRPr="00683B58" w:rsidRDefault="000B55DD" w:rsidP="000B55D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 w:rsidRPr="00683B58">
        <w:rPr>
          <w:rFonts w:ascii="Arial" w:eastAsia="Times New Roman" w:hAnsi="Arial" w:cs="Arial"/>
          <w:color w:val="040404"/>
          <w:lang w:eastAsia="pt-BR"/>
        </w:rPr>
        <w:t>Em levantamento realizado nos dados populacionais publicados pelo Instituto Brasileiro de Geografia e Estatística – IBGE e que foi utilizado pelo Tribunal de Contas da União para realização do cálculo do índice de participação relativa do Município de Altamira, no período de 2008 a 2011, demonstrados na Tabela VI, verifica-se um comportamento crescente do aumento populacional, onde a população do município registrou 92.105, 96.842, 9</w:t>
      </w:r>
      <w:r>
        <w:rPr>
          <w:rFonts w:ascii="Arial" w:eastAsia="Times New Roman" w:hAnsi="Arial" w:cs="Arial"/>
          <w:color w:val="040404"/>
          <w:lang w:eastAsia="pt-BR"/>
        </w:rPr>
        <w:t>9</w:t>
      </w:r>
      <w:r w:rsidRPr="00683B58">
        <w:rPr>
          <w:rFonts w:ascii="Arial" w:eastAsia="Times New Roman" w:hAnsi="Arial" w:cs="Arial"/>
          <w:color w:val="040404"/>
          <w:lang w:eastAsia="pt-BR"/>
        </w:rPr>
        <w:t>.750 e 105.030 habitantes nos anos de 2008, 2009, 2010 e 2011 respectivamente.</w:t>
      </w:r>
    </w:p>
    <w:p w:rsidR="000B55DD" w:rsidRPr="00683B58" w:rsidRDefault="000B55DD" w:rsidP="000B55D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 w:rsidRPr="00683B58">
        <w:rPr>
          <w:rFonts w:ascii="Arial" w:eastAsia="Times New Roman" w:hAnsi="Arial" w:cs="Arial"/>
          <w:color w:val="040404"/>
          <w:lang w:eastAsia="pt-BR"/>
        </w:rPr>
        <w:t>A Tabela VI demonstra ainda que em 2012 os dados publicados pelo IBGE revelam uma queda de 4,09% da população d</w:t>
      </w:r>
      <w:r>
        <w:rPr>
          <w:rFonts w:ascii="Arial" w:eastAsia="Times New Roman" w:hAnsi="Arial" w:cs="Arial"/>
          <w:color w:val="040404"/>
          <w:lang w:eastAsia="pt-BR"/>
        </w:rPr>
        <w:t>e Altamira</w:t>
      </w:r>
      <w:r w:rsidRPr="00683B58">
        <w:rPr>
          <w:rFonts w:ascii="Arial" w:eastAsia="Times New Roman" w:hAnsi="Arial" w:cs="Arial"/>
          <w:color w:val="040404"/>
          <w:lang w:eastAsia="pt-BR"/>
        </w:rPr>
        <w:t>, significando 4.294 habitantes a menos, exatamente em um momento em que o município recebe um forte fluxo migratório conforme revelado na análise dos indicadores das áreas da saúde, educação e coleta de lixo no município</w:t>
      </w:r>
      <w:r>
        <w:rPr>
          <w:rFonts w:ascii="Arial" w:eastAsia="Times New Roman" w:hAnsi="Arial" w:cs="Arial"/>
          <w:color w:val="040404"/>
          <w:lang w:eastAsia="pt-BR"/>
        </w:rPr>
        <w:t xml:space="preserve">. </w:t>
      </w:r>
      <w:r w:rsidRPr="00683B58">
        <w:rPr>
          <w:rFonts w:ascii="Arial" w:eastAsia="Times New Roman" w:hAnsi="Arial" w:cs="Arial"/>
          <w:color w:val="040404"/>
          <w:lang w:eastAsia="pt-BR"/>
        </w:rPr>
        <w:t xml:space="preserve">Isto significa uma queda de 7,12% no </w:t>
      </w:r>
      <w:r>
        <w:rPr>
          <w:rFonts w:ascii="Arial" w:eastAsia="Times New Roman" w:hAnsi="Arial" w:cs="Arial"/>
          <w:color w:val="040404"/>
          <w:lang w:eastAsia="pt-BR"/>
        </w:rPr>
        <w:t xml:space="preserve">coeficiente </w:t>
      </w:r>
      <w:r w:rsidRPr="00683B58">
        <w:rPr>
          <w:rFonts w:ascii="Arial" w:eastAsia="Times New Roman" w:hAnsi="Arial" w:cs="Arial"/>
          <w:color w:val="040404"/>
          <w:lang w:eastAsia="pt-BR"/>
        </w:rPr>
        <w:t>de repasse do FPM ao Município de Altamira-PA.</w:t>
      </w:r>
    </w:p>
    <w:p w:rsidR="000B55DD" w:rsidRDefault="000B55DD" w:rsidP="000B55D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40404"/>
          <w:lang w:eastAsia="pt-BR"/>
        </w:rPr>
      </w:pPr>
    </w:p>
    <w:p w:rsidR="000B55DD" w:rsidRPr="00683B58" w:rsidRDefault="000B55DD" w:rsidP="000B55DD">
      <w:pPr>
        <w:spacing w:after="0" w:line="240" w:lineRule="auto"/>
        <w:ind w:left="1418" w:hanging="1418"/>
        <w:jc w:val="both"/>
        <w:rPr>
          <w:rFonts w:ascii="Arial" w:hAnsi="Arial" w:cs="Arial"/>
          <w:b/>
        </w:rPr>
      </w:pPr>
      <w:r w:rsidRPr="00683B58">
        <w:rPr>
          <w:rFonts w:ascii="Arial" w:hAnsi="Arial" w:cs="Arial"/>
          <w:b/>
        </w:rPr>
        <w:t xml:space="preserve">TABELA VI </w:t>
      </w:r>
      <w:r w:rsidRPr="00683B58">
        <w:rPr>
          <w:rFonts w:ascii="Arial" w:hAnsi="Arial" w:cs="Arial"/>
        </w:rPr>
        <w:t>-</w:t>
      </w:r>
      <w:r w:rsidRPr="00683B58">
        <w:rPr>
          <w:rFonts w:ascii="Arial" w:hAnsi="Arial" w:cs="Arial"/>
          <w:b/>
        </w:rPr>
        <w:t xml:space="preserve"> EVOLUÇÃO D</w:t>
      </w:r>
      <w:r>
        <w:rPr>
          <w:rFonts w:ascii="Arial" w:hAnsi="Arial" w:cs="Arial"/>
          <w:b/>
        </w:rPr>
        <w:t>A POPULAÇÃO E D</w:t>
      </w:r>
      <w:r w:rsidRPr="00683B58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 xml:space="preserve">COEFICIENTE </w:t>
      </w:r>
      <w:r w:rsidRPr="00683B58">
        <w:rPr>
          <w:rFonts w:ascii="Arial" w:hAnsi="Arial" w:cs="Arial"/>
          <w:b/>
        </w:rPr>
        <w:t>DE REPASSE DO FPM – 2008 A 2012</w:t>
      </w:r>
    </w:p>
    <w:tbl>
      <w:tblPr>
        <w:tblW w:w="8521" w:type="dxa"/>
        <w:tblInd w:w="54" w:type="dxa"/>
        <w:tblBorders>
          <w:top w:val="single" w:sz="12" w:space="0" w:color="auto"/>
          <w:bottom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5"/>
        <w:gridCol w:w="1152"/>
        <w:gridCol w:w="2107"/>
        <w:gridCol w:w="2693"/>
        <w:gridCol w:w="1984"/>
      </w:tblGrid>
      <w:tr w:rsidR="000B55DD" w:rsidRPr="00683B58" w:rsidTr="004C3872">
        <w:trPr>
          <w:trHeight w:val="494"/>
        </w:trPr>
        <w:tc>
          <w:tcPr>
            <w:tcW w:w="585" w:type="dxa"/>
            <w:tcBorders>
              <w:top w:val="single" w:sz="12" w:space="0" w:color="auto"/>
              <w:bottom w:val="single" w:sz="2" w:space="0" w:color="auto"/>
            </w:tcBorders>
            <w:shd w:val="pct5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2" w:space="0" w:color="auto"/>
            </w:tcBorders>
            <w:shd w:val="pct5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População</w:t>
            </w:r>
          </w:p>
        </w:tc>
        <w:tc>
          <w:tcPr>
            <w:tcW w:w="2107" w:type="dxa"/>
            <w:tcBorders>
              <w:top w:val="single" w:sz="12" w:space="0" w:color="auto"/>
              <w:bottom w:val="single" w:sz="2" w:space="0" w:color="auto"/>
            </w:tcBorders>
            <w:shd w:val="pct5" w:color="auto" w:fill="auto"/>
            <w:vAlign w:val="center"/>
          </w:tcPr>
          <w:p w:rsidR="000B55DD" w:rsidRPr="00683B58" w:rsidRDefault="000B55DD" w:rsidP="004C387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B58">
              <w:rPr>
                <w:rFonts w:ascii="Arial" w:hAnsi="Arial" w:cs="Arial"/>
                <w:b/>
                <w:sz w:val="20"/>
                <w:szCs w:val="20"/>
              </w:rPr>
              <w:t>Índice Crescimento/Queda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2" w:space="0" w:color="auto"/>
            </w:tcBorders>
            <w:shd w:val="pct5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Data da Apuração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shd w:val="pct5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Coeficiente do FPM</w:t>
            </w:r>
          </w:p>
        </w:tc>
      </w:tr>
      <w:tr w:rsidR="000B55DD" w:rsidRPr="00683B58" w:rsidTr="004C3872">
        <w:trPr>
          <w:trHeight w:val="987"/>
        </w:trPr>
        <w:tc>
          <w:tcPr>
            <w:tcW w:w="585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1152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92.105</w:t>
            </w:r>
          </w:p>
        </w:tc>
        <w:tc>
          <w:tcPr>
            <w:tcW w:w="2107" w:type="dxa"/>
            <w:tcBorders>
              <w:top w:val="single" w:sz="2" w:space="0" w:color="auto"/>
            </w:tcBorders>
            <w:vAlign w:val="center"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B58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População apurada pelo IBGE em 01/04/2007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,0</w:t>
            </w:r>
          </w:p>
        </w:tc>
      </w:tr>
      <w:tr w:rsidR="000B55DD" w:rsidRPr="00683B58" w:rsidTr="004C3872">
        <w:trPr>
          <w:trHeight w:val="987"/>
        </w:trPr>
        <w:tc>
          <w:tcPr>
            <w:tcW w:w="585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96.842</w:t>
            </w:r>
          </w:p>
        </w:tc>
        <w:tc>
          <w:tcPr>
            <w:tcW w:w="2107" w:type="dxa"/>
            <w:vAlign w:val="center"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B58">
              <w:rPr>
                <w:rFonts w:ascii="Arial" w:hAnsi="Arial" w:cs="Arial"/>
                <w:sz w:val="20"/>
                <w:szCs w:val="20"/>
              </w:rPr>
              <w:t>5,14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População apurada pelo IBGE em 01/07/2008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,0</w:t>
            </w:r>
          </w:p>
        </w:tc>
      </w:tr>
      <w:tr w:rsidR="000B55DD" w:rsidRPr="00683B58" w:rsidTr="004C3872">
        <w:trPr>
          <w:trHeight w:val="987"/>
        </w:trPr>
        <w:tc>
          <w:tcPr>
            <w:tcW w:w="585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99</w:t>
            </w: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.750</w:t>
            </w:r>
          </w:p>
        </w:tc>
        <w:tc>
          <w:tcPr>
            <w:tcW w:w="2107" w:type="dxa"/>
            <w:vAlign w:val="center"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B58">
              <w:rPr>
                <w:rFonts w:ascii="Arial" w:hAnsi="Arial" w:cs="Arial"/>
                <w:sz w:val="20"/>
                <w:szCs w:val="20"/>
              </w:rPr>
              <w:t>1,97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População apurada pelo IBGE em 01/07/2009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,0</w:t>
            </w:r>
          </w:p>
        </w:tc>
      </w:tr>
      <w:tr w:rsidR="000B55DD" w:rsidRPr="00683B58" w:rsidTr="004C3872">
        <w:trPr>
          <w:trHeight w:val="987"/>
        </w:trPr>
        <w:tc>
          <w:tcPr>
            <w:tcW w:w="585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105.030</w:t>
            </w:r>
          </w:p>
        </w:tc>
        <w:tc>
          <w:tcPr>
            <w:tcW w:w="2107" w:type="dxa"/>
            <w:vAlign w:val="center"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B58">
              <w:rPr>
                <w:rFonts w:ascii="Arial" w:hAnsi="Arial" w:cs="Arial"/>
                <w:sz w:val="20"/>
                <w:szCs w:val="20"/>
              </w:rPr>
              <w:t>6,36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População apurada pelo IBGE em 01/08/2010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3,2</w:t>
            </w:r>
          </w:p>
        </w:tc>
      </w:tr>
      <w:tr w:rsidR="000B55DD" w:rsidRPr="00683B58" w:rsidTr="004C3872">
        <w:trPr>
          <w:trHeight w:val="987"/>
        </w:trPr>
        <w:tc>
          <w:tcPr>
            <w:tcW w:w="585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100.736</w:t>
            </w:r>
          </w:p>
        </w:tc>
        <w:tc>
          <w:tcPr>
            <w:tcW w:w="2107" w:type="dxa"/>
            <w:vAlign w:val="center"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B58">
              <w:rPr>
                <w:rFonts w:ascii="Arial" w:hAnsi="Arial" w:cs="Arial"/>
                <w:sz w:val="20"/>
                <w:szCs w:val="20"/>
              </w:rPr>
              <w:t>-4,09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População apurada pelo IBGE em 01/07/2011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B55DD" w:rsidRPr="00683B58" w:rsidRDefault="000B55DD" w:rsidP="004C38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83B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,0</w:t>
            </w:r>
          </w:p>
        </w:tc>
      </w:tr>
    </w:tbl>
    <w:p w:rsidR="000B55DD" w:rsidRPr="00683B58" w:rsidRDefault="000B55DD" w:rsidP="000B55DD">
      <w:pPr>
        <w:jc w:val="both"/>
        <w:rPr>
          <w:rFonts w:ascii="Arial" w:hAnsi="Arial" w:cs="Arial"/>
          <w:sz w:val="20"/>
          <w:szCs w:val="20"/>
        </w:rPr>
      </w:pPr>
      <w:r w:rsidRPr="00683B58">
        <w:rPr>
          <w:rFonts w:ascii="Arial" w:hAnsi="Arial" w:cs="Arial"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Instituto Brasileiro de Geografia e Estatística - IBGE</w:t>
      </w:r>
    </w:p>
    <w:p w:rsidR="000B55DD" w:rsidRDefault="000B55DD" w:rsidP="000B55D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  <w:r w:rsidRPr="00AD133D">
        <w:rPr>
          <w:rFonts w:ascii="Arial" w:eastAsia="Times New Roman" w:hAnsi="Arial" w:cs="Arial"/>
          <w:b/>
          <w:i/>
          <w:color w:val="040404"/>
          <w:lang w:eastAsia="pt-BR"/>
        </w:rPr>
        <w:lastRenderedPageBreak/>
        <w:t xml:space="preserve">O IBGE utiliza uma estrutura normativa de apuração da população utilizando métodos lineares para todos os municípios e não incluem nestes métodos estatísticos de apuração os efeitos de projetos na magnitude da obra da UHE Belo Monte </w:t>
      </w:r>
      <w:r w:rsidRPr="00683B58">
        <w:rPr>
          <w:rFonts w:ascii="Arial" w:eastAsia="Times New Roman" w:hAnsi="Arial" w:cs="Arial"/>
          <w:color w:val="040404"/>
          <w:lang w:eastAsia="pt-BR"/>
        </w:rPr>
        <w:t>que impacta de forma imediata sobre o fluxo populacional dos municípios do entorno do projeto, em especial n</w:t>
      </w:r>
      <w:r>
        <w:rPr>
          <w:rFonts w:ascii="Arial" w:eastAsia="Times New Roman" w:hAnsi="Arial" w:cs="Arial"/>
          <w:color w:val="040404"/>
          <w:lang w:eastAsia="pt-BR"/>
        </w:rPr>
        <w:t xml:space="preserve">a área urbana </w:t>
      </w:r>
      <w:r w:rsidRPr="00683B58">
        <w:rPr>
          <w:rFonts w:ascii="Arial" w:eastAsia="Times New Roman" w:hAnsi="Arial" w:cs="Arial"/>
          <w:color w:val="040404"/>
          <w:lang w:eastAsia="pt-BR"/>
        </w:rPr>
        <w:t>de Altamira que é a cidade que possui a melhor estrutura urbana da região, o que por sua vez, está sofrendo uma forte pressão financeira sobre as despesas municipais.</w:t>
      </w:r>
    </w:p>
    <w:p w:rsidR="00E4309F" w:rsidRDefault="00E4309F" w:rsidP="000B55DD">
      <w:pPr>
        <w:shd w:val="clear" w:color="auto" w:fill="FFFFFF"/>
        <w:spacing w:after="0" w:line="360" w:lineRule="auto"/>
        <w:ind w:firstLine="1134"/>
        <w:jc w:val="both"/>
        <w:rPr>
          <w:rFonts w:ascii="Arial" w:eastAsia="Times New Roman" w:hAnsi="Arial" w:cs="Arial"/>
          <w:color w:val="040404"/>
          <w:lang w:eastAsia="pt-BR"/>
        </w:rPr>
      </w:pPr>
    </w:p>
    <w:p w:rsidR="00E4309F" w:rsidRDefault="00E4309F" w:rsidP="00E430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4B74">
        <w:rPr>
          <w:rFonts w:ascii="Arial" w:hAnsi="Arial" w:cs="Arial"/>
          <w:b/>
          <w:sz w:val="24"/>
          <w:szCs w:val="24"/>
        </w:rPr>
        <w:t>Jó Bezerra de Sales</w:t>
      </w:r>
    </w:p>
    <w:p w:rsidR="00E4309F" w:rsidRPr="00E4309F" w:rsidRDefault="00E4309F" w:rsidP="00E4309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4309F">
        <w:rPr>
          <w:rFonts w:ascii="Arial" w:hAnsi="Arial" w:cs="Arial"/>
          <w:sz w:val="18"/>
          <w:szCs w:val="18"/>
        </w:rPr>
        <w:t>Assessor Especial de Finanças Públicas da Prefeitura Municipal de Altamira - PA</w:t>
      </w:r>
    </w:p>
    <w:p w:rsidR="00E4309F" w:rsidRPr="00E4309F" w:rsidRDefault="00E4309F" w:rsidP="00E4309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4309F">
        <w:rPr>
          <w:rFonts w:ascii="Arial" w:hAnsi="Arial" w:cs="Arial"/>
          <w:sz w:val="18"/>
          <w:szCs w:val="18"/>
        </w:rPr>
        <w:t>Especialista em Direito Tributário pelo Instituto Brasileiro de Direito Tributário</w:t>
      </w:r>
    </w:p>
    <w:p w:rsidR="00E4309F" w:rsidRDefault="00E4309F" w:rsidP="00E4309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4309F">
        <w:rPr>
          <w:rFonts w:ascii="Arial" w:hAnsi="Arial" w:cs="Arial"/>
          <w:sz w:val="18"/>
          <w:szCs w:val="18"/>
        </w:rPr>
        <w:t>Mestre em Gestão Pública pela UTAD</w:t>
      </w:r>
    </w:p>
    <w:p w:rsidR="00E4309F" w:rsidRPr="00E4309F" w:rsidRDefault="00E4309F" w:rsidP="00E4309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hyperlink r:id="rId6" w:history="1">
        <w:r w:rsidRPr="00534BD1">
          <w:rPr>
            <w:rStyle w:val="Hyperlink"/>
            <w:rFonts w:ascii="Arial" w:hAnsi="Arial" w:cs="Arial"/>
            <w:sz w:val="18"/>
            <w:szCs w:val="18"/>
          </w:rPr>
          <w:t>josalez@hotmail.com</w:t>
        </w:r>
      </w:hyperlink>
      <w:r>
        <w:rPr>
          <w:rFonts w:ascii="Arial" w:hAnsi="Arial" w:cs="Arial"/>
          <w:sz w:val="18"/>
          <w:szCs w:val="18"/>
        </w:rPr>
        <w:t xml:space="preserve"> - 91-3222-5198/8374-4440)</w:t>
      </w:r>
    </w:p>
    <w:p w:rsidR="000B55DD" w:rsidRPr="00E4309F" w:rsidRDefault="000B55DD" w:rsidP="000B55D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0E27EC" w:rsidRDefault="000E27EC" w:rsidP="00805C6D">
      <w:pPr>
        <w:spacing w:after="0" w:line="360" w:lineRule="auto"/>
        <w:ind w:firstLine="1134"/>
        <w:jc w:val="both"/>
        <w:rPr>
          <w:rFonts w:ascii="Arial" w:hAnsi="Arial" w:cs="Arial"/>
        </w:rPr>
      </w:pPr>
    </w:p>
    <w:sectPr w:rsidR="000E27EC" w:rsidSect="00B62EC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B78" w:rsidRDefault="00BD0B78" w:rsidP="00805C6D">
      <w:pPr>
        <w:spacing w:after="0" w:line="240" w:lineRule="auto"/>
      </w:pPr>
      <w:r>
        <w:separator/>
      </w:r>
    </w:p>
  </w:endnote>
  <w:endnote w:type="continuationSeparator" w:id="1">
    <w:p w:rsidR="00BD0B78" w:rsidRDefault="00BD0B78" w:rsidP="0080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B78" w:rsidRDefault="00BD0B78" w:rsidP="00805C6D">
      <w:pPr>
        <w:spacing w:after="0" w:line="240" w:lineRule="auto"/>
      </w:pPr>
      <w:r>
        <w:separator/>
      </w:r>
    </w:p>
  </w:footnote>
  <w:footnote w:type="continuationSeparator" w:id="1">
    <w:p w:rsidR="00BD0B78" w:rsidRDefault="00BD0B78" w:rsidP="00805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C6D" w:rsidRDefault="00834E97" w:rsidP="00805C6D">
    <w:pPr>
      <w:pStyle w:val="Cabealho"/>
      <w:jc w:val="center"/>
      <w:rPr>
        <w:color w:val="000000"/>
      </w:rPr>
    </w:pPr>
    <w:r>
      <w:rPr>
        <w:noProof/>
        <w:color w:val="000000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80pt;margin-top:-20.1pt;width:54.25pt;height:49.55pt;z-index:251660288" wrapcoords="-338 0 -338 21257 21600 21257 21600 0 -338 0">
          <v:imagedata r:id="rId1" o:title=""/>
          <w10:wrap type="tight"/>
        </v:shape>
        <o:OLEObject Type="Embed" ProgID="Word.Picture.8" ShapeID="_x0000_s1025" DrawAspect="Content" ObjectID="_1395294343" r:id="rId2"/>
      </w:pict>
    </w:r>
  </w:p>
  <w:p w:rsidR="00805C6D" w:rsidRDefault="00805C6D" w:rsidP="00805C6D">
    <w:pPr>
      <w:pStyle w:val="Cabealho"/>
      <w:jc w:val="center"/>
      <w:rPr>
        <w:b/>
        <w:sz w:val="28"/>
        <w:szCs w:val="28"/>
      </w:rPr>
    </w:pPr>
  </w:p>
  <w:p w:rsidR="00805C6D" w:rsidRPr="00805C6D" w:rsidRDefault="00805C6D" w:rsidP="00805C6D">
    <w:pPr>
      <w:pStyle w:val="Cabealho"/>
      <w:jc w:val="center"/>
      <w:rPr>
        <w:rFonts w:ascii="Arial" w:hAnsi="Arial" w:cs="Arial"/>
        <w:b/>
        <w:sz w:val="20"/>
        <w:szCs w:val="20"/>
      </w:rPr>
    </w:pPr>
    <w:r w:rsidRPr="00805C6D">
      <w:rPr>
        <w:rFonts w:ascii="Arial" w:hAnsi="Arial" w:cs="Arial"/>
        <w:b/>
        <w:sz w:val="20"/>
        <w:szCs w:val="20"/>
      </w:rPr>
      <w:t>PREFEITURA MUNICIPAL DE ALTAMIRA</w:t>
    </w:r>
  </w:p>
  <w:p w:rsidR="00805C6D" w:rsidRPr="00805C6D" w:rsidRDefault="00805C6D" w:rsidP="00805C6D">
    <w:pPr>
      <w:pStyle w:val="Cabealho"/>
      <w:jc w:val="center"/>
      <w:rPr>
        <w:rFonts w:ascii="Arial" w:hAnsi="Arial" w:cs="Arial"/>
        <w:b/>
        <w:sz w:val="20"/>
        <w:szCs w:val="20"/>
      </w:rPr>
    </w:pPr>
    <w:r w:rsidRPr="00805C6D">
      <w:rPr>
        <w:rFonts w:ascii="Arial" w:hAnsi="Arial" w:cs="Arial"/>
        <w:b/>
        <w:sz w:val="20"/>
        <w:szCs w:val="20"/>
      </w:rPr>
      <w:t>SECRETARIA MUNICIPAL DE FINANÇAS</w:t>
    </w:r>
  </w:p>
  <w:p w:rsidR="00805C6D" w:rsidRDefault="00805C6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05C6D"/>
    <w:rsid w:val="000B55DD"/>
    <w:rsid w:val="000E27EC"/>
    <w:rsid w:val="001B3C0D"/>
    <w:rsid w:val="0044363B"/>
    <w:rsid w:val="004B3C76"/>
    <w:rsid w:val="00545995"/>
    <w:rsid w:val="00556646"/>
    <w:rsid w:val="005D5E7C"/>
    <w:rsid w:val="00735E83"/>
    <w:rsid w:val="007A6BAB"/>
    <w:rsid w:val="00805C6D"/>
    <w:rsid w:val="00834E97"/>
    <w:rsid w:val="009C0831"/>
    <w:rsid w:val="00A36F50"/>
    <w:rsid w:val="00A82BFD"/>
    <w:rsid w:val="00AD133D"/>
    <w:rsid w:val="00B21C0E"/>
    <w:rsid w:val="00B62EC6"/>
    <w:rsid w:val="00BD0B78"/>
    <w:rsid w:val="00CF5054"/>
    <w:rsid w:val="00E4309F"/>
    <w:rsid w:val="00F2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C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05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5C6D"/>
  </w:style>
  <w:style w:type="paragraph" w:styleId="Rodap">
    <w:name w:val="footer"/>
    <w:basedOn w:val="Normal"/>
    <w:link w:val="RodapChar"/>
    <w:uiPriority w:val="99"/>
    <w:semiHidden/>
    <w:unhideWhenUsed/>
    <w:rsid w:val="00805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05C6D"/>
  </w:style>
  <w:style w:type="character" w:styleId="Hyperlink">
    <w:name w:val="Hyperlink"/>
    <w:basedOn w:val="Fontepargpadro"/>
    <w:uiPriority w:val="99"/>
    <w:unhideWhenUsed/>
    <w:rsid w:val="00E430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alez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1112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 Sales</dc:creator>
  <cp:lastModifiedBy>valeria</cp:lastModifiedBy>
  <cp:revision>2</cp:revision>
  <cp:lastPrinted>2012-04-05T19:40:00Z</cp:lastPrinted>
  <dcterms:created xsi:type="dcterms:W3CDTF">2012-04-07T11:59:00Z</dcterms:created>
  <dcterms:modified xsi:type="dcterms:W3CDTF">2012-04-07T11:59:00Z</dcterms:modified>
</cp:coreProperties>
</file>